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Style w:val="4"/>
          <w:rFonts w:hint="eastAsia" w:ascii="ˎ̥" w:hAnsi="ˎ̥" w:eastAsia="黑体"/>
          <w:b w:val="0"/>
          <w:bCs w:val="0"/>
          <w:szCs w:val="28"/>
          <w:u w:val="none" w:color="auto"/>
        </w:rPr>
      </w:pPr>
      <w:r>
        <w:rPr>
          <w:rStyle w:val="4"/>
          <w:rFonts w:ascii="ˎ̥" w:hAnsi="ˎ̥" w:eastAsia="黑体"/>
          <w:b w:val="0"/>
          <w:bCs w:val="0"/>
          <w:szCs w:val="28"/>
          <w:u w:val="none" w:color="auto"/>
        </w:rPr>
        <w:t>附件</w:t>
      </w:r>
      <w:r>
        <w:rPr>
          <w:rStyle w:val="4"/>
          <w:rFonts w:hint="eastAsia" w:ascii="ˎ̥" w:hAnsi="ˎ̥" w:eastAsia="黑体"/>
          <w:b w:val="0"/>
          <w:bCs w:val="0"/>
          <w:szCs w:val="28"/>
          <w:u w:val="none" w:color="auto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outlineLvl w:val="9"/>
        <w:rPr>
          <w:rStyle w:val="4"/>
          <w:rFonts w:hint="eastAsia" w:ascii="ˎ̥" w:hAnsi="ˎ̥" w:eastAsia="黑体"/>
          <w:b w:val="0"/>
          <w:bCs w:val="0"/>
          <w:sz w:val="44"/>
          <w:szCs w:val="44"/>
          <w:u w:val="none" w:color="auto"/>
        </w:rPr>
      </w:pPr>
      <w:bookmarkStart w:id="0" w:name="_GoBack"/>
      <w:r>
        <w:rPr>
          <w:rStyle w:val="4"/>
          <w:rFonts w:hint="eastAsia" w:ascii="ˎ̥" w:hAnsi="ˎ̥" w:eastAsia="黑体"/>
          <w:b w:val="0"/>
          <w:bCs w:val="0"/>
          <w:sz w:val="44"/>
          <w:szCs w:val="44"/>
          <w:u w:val="none" w:color="auto"/>
        </w:rPr>
        <w:t>市企业技术中心评价办法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rFonts w:hint="eastAsia"/>
          <w:color w:val="000000"/>
          <w:szCs w:val="32"/>
          <w:u w:val="none" w:color="auto"/>
        </w:rPr>
        <w:t>市</w:t>
      </w:r>
      <w:r>
        <w:rPr>
          <w:color w:val="000000"/>
          <w:szCs w:val="32"/>
          <w:u w:val="none" w:color="auto"/>
        </w:rPr>
        <w:t>企业技术中心评价按以下工作程序进行：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eastAsia="黑体"/>
          <w:color w:val="000000"/>
          <w:szCs w:val="32"/>
          <w:u w:val="none" w:color="auto"/>
        </w:rPr>
      </w:pPr>
      <w:r>
        <w:rPr>
          <w:rFonts w:eastAsia="黑体"/>
          <w:color w:val="000000"/>
          <w:szCs w:val="32"/>
          <w:u w:val="none" w:color="auto"/>
        </w:rPr>
        <w:t>一、基础技术数据处理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根据《</w:t>
      </w:r>
      <w:r>
        <w:rPr>
          <w:rFonts w:hint="eastAsia"/>
          <w:color w:val="000000"/>
          <w:szCs w:val="32"/>
          <w:u w:val="none" w:color="auto"/>
        </w:rPr>
        <w:t>市</w:t>
      </w:r>
      <w:r>
        <w:rPr>
          <w:color w:val="000000"/>
          <w:szCs w:val="32"/>
          <w:u w:val="none" w:color="auto"/>
        </w:rPr>
        <w:t>企业技术中心评价材料》（附件2）明确的各项指标解释，结合申请报告中的相关附件及证明材料，对企业提交的“</w:t>
      </w:r>
      <w:r>
        <w:rPr>
          <w:rFonts w:hint="eastAsia"/>
          <w:color w:val="000000"/>
          <w:szCs w:val="32"/>
          <w:u w:val="none" w:color="auto"/>
        </w:rPr>
        <w:t>市</w:t>
      </w:r>
      <w:r>
        <w:rPr>
          <w:color w:val="000000"/>
          <w:szCs w:val="32"/>
          <w:u w:val="none" w:color="auto"/>
        </w:rPr>
        <w:t>企业技术中心评价数据表”中各项数据值进行逐项核实，对证明材料缺失或者无效的数据，按量予以核减，以最终的核定数据作为计算每项指标得分的依据。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eastAsia="黑体"/>
          <w:color w:val="000000"/>
          <w:szCs w:val="32"/>
          <w:u w:val="none" w:color="auto"/>
        </w:rPr>
      </w:pPr>
      <w:r>
        <w:rPr>
          <w:rFonts w:eastAsia="黑体"/>
          <w:color w:val="000000"/>
          <w:szCs w:val="32"/>
          <w:u w:val="none" w:color="auto"/>
        </w:rPr>
        <w:t>二、指标数值计算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对“</w:t>
      </w:r>
      <w:r>
        <w:rPr>
          <w:rFonts w:hint="eastAsia"/>
          <w:color w:val="000000"/>
          <w:szCs w:val="32"/>
          <w:u w:val="none" w:color="auto"/>
        </w:rPr>
        <w:t>市</w:t>
      </w:r>
      <w:r>
        <w:rPr>
          <w:color w:val="000000"/>
          <w:szCs w:val="32"/>
          <w:u w:val="none" w:color="auto"/>
        </w:rPr>
        <w:t>企业技术中心评价数据表”各项指标的数据核定后，可得到《</w:t>
      </w:r>
      <w:r>
        <w:rPr>
          <w:rFonts w:hint="eastAsia"/>
          <w:color w:val="000000"/>
          <w:szCs w:val="32"/>
          <w:u w:val="none" w:color="auto"/>
        </w:rPr>
        <w:t>市</w:t>
      </w:r>
      <w:r>
        <w:rPr>
          <w:color w:val="000000"/>
          <w:szCs w:val="32"/>
          <w:u w:val="none" w:color="auto"/>
        </w:rPr>
        <w:t>企业技术中心评价指标体系》（附件3第一部分）中各项指标的数值。其中，有</w:t>
      </w:r>
      <w:r>
        <w:rPr>
          <w:rFonts w:hint="eastAsia"/>
          <w:color w:val="000000"/>
          <w:szCs w:val="32"/>
          <w:u w:val="none" w:color="auto"/>
        </w:rPr>
        <w:t>8</w:t>
      </w:r>
      <w:r>
        <w:rPr>
          <w:color w:val="000000"/>
          <w:szCs w:val="32"/>
          <w:u w:val="none" w:color="auto"/>
        </w:rPr>
        <w:t>项指标的数值须通过计算得到。对于引入行业系数进行调节的“研发经费支出占主营业务收入的比重”“新产品销售收入占主营业务收入的比重”“新产品销售利润占利润总额的比重”3项指标，在计算获得原始指标数值后，再乘以本企业所在行业的行业系数（附件3第二部分）作为计算相关指标得分的最终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以下是</w:t>
      </w:r>
      <w:r>
        <w:rPr>
          <w:rFonts w:hint="eastAsia"/>
          <w:color w:val="000000"/>
          <w:szCs w:val="32"/>
          <w:u w:val="none" w:color="auto"/>
        </w:rPr>
        <w:t>8</w:t>
      </w:r>
      <w:r>
        <w:rPr>
          <w:color w:val="000000"/>
          <w:szCs w:val="32"/>
          <w:u w:val="none" w:color="auto"/>
        </w:rPr>
        <w:t>项指标具体的计算方法：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（一）“研发人员人均研发经费支出”，由“研发与试验发展经费支出”核定数据除以“研发与试验发展人员数”核定数据得到；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（二）“研发经费支出占主营业务收入的比重”，由“研发与试验发展经费支出”核定数据除以“主营业务收入”核对数据，再乘以企业所在行业的行业系数得到；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（三）“研发人员占企业职工总数的比重”，由“研发与试验发展人员数”核对数据除以“企业职工总数”核定数据得到；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  <w:r>
        <w:rPr>
          <w:rFonts w:hint="eastAsia"/>
          <w:color w:val="000000"/>
          <w:szCs w:val="32"/>
          <w:u w:val="none" w:color="auto"/>
        </w:rPr>
        <w:t>（四）中心年人均收入与企业年人均收入之比，由“技术中心职工人数”除以“技术中心全体职工年收入总额”的数值与“企业全体职工年收入总额”除以“企业职工总数”的数值相比得到；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（</w:t>
      </w:r>
      <w:r>
        <w:rPr>
          <w:rFonts w:hint="eastAsia"/>
          <w:color w:val="000000"/>
          <w:szCs w:val="32"/>
          <w:u w:val="none" w:color="auto"/>
        </w:rPr>
        <w:t>五</w:t>
      </w:r>
      <w:r>
        <w:rPr>
          <w:color w:val="000000"/>
          <w:szCs w:val="32"/>
          <w:u w:val="none" w:color="auto"/>
        </w:rPr>
        <w:t>）“基础研究和应用研究项目数占全部研发项目数的比重”，由“基础研究和应用研究项目数”核定数据除以“企业全部研发项目数”核定数据得到；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（</w:t>
      </w:r>
      <w:r>
        <w:rPr>
          <w:rFonts w:hint="eastAsia"/>
          <w:color w:val="000000"/>
          <w:szCs w:val="32"/>
          <w:u w:val="none" w:color="auto"/>
        </w:rPr>
        <w:t>六</w:t>
      </w:r>
      <w:r>
        <w:rPr>
          <w:color w:val="000000"/>
          <w:szCs w:val="32"/>
          <w:u w:val="none" w:color="auto"/>
        </w:rPr>
        <w:t>）“新产品销售收入占主营业务收入的比重”，由“新产品销售收入”核定数据除以“主营业务收入”核定数据，再乘以企业所在行业的行业系数得到；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（</w:t>
      </w:r>
      <w:r>
        <w:rPr>
          <w:rFonts w:hint="eastAsia"/>
          <w:color w:val="000000"/>
          <w:szCs w:val="32"/>
          <w:u w:val="none" w:color="auto"/>
        </w:rPr>
        <w:t>七</w:t>
      </w:r>
      <w:r>
        <w:rPr>
          <w:color w:val="000000"/>
          <w:szCs w:val="32"/>
          <w:u w:val="none" w:color="auto"/>
        </w:rPr>
        <w:t>）“新产品销售利润占利润总额的比重”，由“新产品销售利润”核定数据除以“利润总额”核定数据，再乘以企业所在行业的行业系数得到；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（</w:t>
      </w:r>
      <w:r>
        <w:rPr>
          <w:rFonts w:hint="eastAsia"/>
          <w:color w:val="000000"/>
          <w:szCs w:val="32"/>
          <w:u w:val="none" w:color="auto"/>
        </w:rPr>
        <w:t>八</w:t>
      </w:r>
      <w:r>
        <w:rPr>
          <w:color w:val="000000"/>
          <w:szCs w:val="32"/>
          <w:u w:val="none" w:color="auto"/>
        </w:rPr>
        <w:t>）“利润率”，由“利润总额”核定数据除以“主营业务收入”核定数据得到。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eastAsia="黑体"/>
          <w:color w:val="000000"/>
          <w:szCs w:val="32"/>
          <w:u w:val="none" w:color="auto"/>
        </w:rPr>
      </w:pPr>
      <w:r>
        <w:rPr>
          <w:rFonts w:eastAsia="黑体"/>
          <w:color w:val="000000"/>
          <w:szCs w:val="32"/>
          <w:u w:val="none" w:color="auto"/>
        </w:rPr>
        <w:t>三、得分计算方法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得到《</w:t>
      </w:r>
      <w:r>
        <w:rPr>
          <w:rFonts w:hint="eastAsia"/>
          <w:color w:val="000000"/>
          <w:szCs w:val="32"/>
          <w:u w:val="none" w:color="auto"/>
        </w:rPr>
        <w:t>市</w:t>
      </w:r>
      <w:r>
        <w:rPr>
          <w:color w:val="000000"/>
          <w:szCs w:val="32"/>
          <w:u w:val="none" w:color="auto"/>
        </w:rPr>
        <w:t>企业技术中心评价指标体系》中各项指标的数值后，根据相应的计算规则，计算出各项指标的得分（得分数值保留一位小数），各项指标相加得到总分。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具体计算规则如下：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color w:val="000000"/>
          <w:szCs w:val="32"/>
          <w:u w:val="none" w:color="auto"/>
        </w:rPr>
        <w:t>1.指标数值大于或等于满分要求时，指标得分为满分，即指标得分等于权重数值；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rFonts w:hint="eastAsia"/>
          <w:color w:val="000000"/>
          <w:szCs w:val="32"/>
          <w:u w:val="none" w:color="auto"/>
          <w:lang w:val="en-US" w:eastAsia="zh-CN"/>
        </w:rPr>
        <w:t>2</w:t>
      </w:r>
      <w:r>
        <w:rPr>
          <w:color w:val="000000"/>
          <w:szCs w:val="32"/>
          <w:u w:val="none" w:color="auto"/>
        </w:rPr>
        <w:t>.指标数值等于基本要求时，指标得分为权重的60%；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rFonts w:hint="eastAsia"/>
          <w:color w:val="000000"/>
          <w:szCs w:val="32"/>
          <w:u w:val="none" w:color="auto"/>
          <w:lang w:val="en-US" w:eastAsia="zh-CN"/>
        </w:rPr>
        <w:t>3</w:t>
      </w:r>
      <w:r>
        <w:rPr>
          <w:color w:val="000000"/>
          <w:szCs w:val="32"/>
          <w:u w:val="none" w:color="auto"/>
        </w:rPr>
        <w:t>.指标数值为0时，指标得分为0；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  <w:r>
        <w:rPr>
          <w:sz w:val="30"/>
          <w:szCs w:val="30"/>
          <w:u w:val="none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340360</wp:posOffset>
            </wp:positionV>
            <wp:extent cx="4631055" cy="3231515"/>
            <wp:effectExtent l="0" t="0" r="17145" b="6985"/>
            <wp:wrapTight wrapText="bothSides">
              <wp:wrapPolygon>
                <wp:start x="0" y="0"/>
                <wp:lineTo x="0" y="21519"/>
                <wp:lineTo x="21502" y="21519"/>
                <wp:lineTo x="21502" y="0"/>
                <wp:lineTo x="0" y="0"/>
              </wp:wrapPolygon>
            </wp:wrapTight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/>
          <w:szCs w:val="32"/>
          <w:u w:val="none" w:color="auto"/>
          <w:lang w:val="en-US" w:eastAsia="zh-CN"/>
        </w:rPr>
      </w:pPr>
      <w:r>
        <w:rPr>
          <w:rFonts w:hint="eastAsia"/>
          <w:color w:val="000000"/>
          <w:szCs w:val="32"/>
          <w:u w:val="none" w:color="auto"/>
        </w:rPr>
        <w:t>4</w:t>
      </w:r>
      <w:r>
        <w:rPr>
          <w:color w:val="000000"/>
          <w:szCs w:val="32"/>
          <w:u w:val="none" w:color="auto"/>
        </w:rPr>
        <w:t>.指标数值处于0和基本要求之间时，指标得分按线性插值的方法计算，具体计算公式为：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color w:val="000000"/>
          <w:szCs w:val="32"/>
          <w:u w:val="none" w:color="auto"/>
          <w:lang w:val="en-US" w:eastAsia="zh-CN"/>
        </w:rPr>
      </w:pPr>
      <w:r>
        <w:rPr>
          <w:sz w:val="30"/>
          <w:szCs w:val="30"/>
          <w:u w:val="none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1955165</wp:posOffset>
            </wp:positionH>
            <wp:positionV relativeFrom="page">
              <wp:posOffset>6280150</wp:posOffset>
            </wp:positionV>
            <wp:extent cx="3650615" cy="543560"/>
            <wp:effectExtent l="0" t="0" r="6985" b="8890"/>
            <wp:wrapTopAndBottom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sz w:val="30"/>
          <w:szCs w:val="30"/>
          <w:u w:val="none" w:color="auto"/>
        </w:rPr>
      </w:pPr>
      <w:r>
        <w:rPr>
          <w:rFonts w:hint="eastAsia"/>
          <w:color w:val="000000"/>
          <w:szCs w:val="32"/>
          <w:u w:val="none" w:color="auto"/>
          <w:lang w:val="en-US" w:eastAsia="zh-CN"/>
        </w:rPr>
        <w:t>3</w:t>
      </w:r>
      <w:r>
        <w:rPr>
          <w:color w:val="000000"/>
          <w:szCs w:val="32"/>
          <w:u w:val="none" w:color="auto"/>
        </w:rPr>
        <w:t>.指标数值处于基本要求和满分要求之间时，指标得分按线性插值的方法计算，具体计算公式为：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C3B1E"/>
    <w:rsid w:val="44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2021-05-07T01:52:00Z</dcterms:created>
  <dc:creator>三步两桥 13937935766</dc:creator>
  <cp:lastModifiedBy>三步两桥 13937935766</cp:lastModifiedBy>
  <dcterms:modified xsi:type="dcterms:W3CDTF">2021-05-07T01:52:56Z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A0597D2DAD3544F493B9F2BBA91CAC35</vt:lpwstr>
  </property>
</Properties>
</file>