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ˎ̥" w:hAnsi="ˎ̥" w:eastAsia="黑体" w:cs="宋体"/>
          <w:kern w:val="0"/>
          <w:szCs w:val="28"/>
          <w:u w:val="none" w:color="auto"/>
        </w:rPr>
      </w:pPr>
      <w:r>
        <w:rPr>
          <w:rFonts w:ascii="ˎ̥" w:hAnsi="ˎ̥" w:eastAsia="黑体" w:cs="宋体"/>
          <w:kern w:val="0"/>
          <w:szCs w:val="28"/>
          <w:u w:val="none" w:color="auto"/>
        </w:rPr>
        <w:t>附件</w:t>
      </w:r>
      <w:bookmarkStart w:id="0" w:name="省认定企业技术中心申请报告评价指标体系"/>
      <w:r>
        <w:rPr>
          <w:rFonts w:hint="eastAsia" w:ascii="ˎ̥" w:hAnsi="ˎ̥" w:eastAsia="黑体" w:cs="宋体"/>
          <w:kern w:val="0"/>
          <w:szCs w:val="28"/>
          <w:u w:val="none" w:color="auto"/>
        </w:rPr>
        <w:t>3</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30"/>
          <w:u w:val="none" w:color="auto"/>
        </w:rPr>
      </w:pPr>
      <w:bookmarkStart w:id="1" w:name="_GoBack"/>
      <w:r>
        <w:rPr>
          <w:rFonts w:hint="eastAsia" w:ascii="ˎ̥" w:hAnsi="ˎ̥" w:eastAsia="方正小标宋简体" w:cs="宋体"/>
          <w:kern w:val="0"/>
          <w:sz w:val="44"/>
          <w:szCs w:val="28"/>
          <w:u w:val="none" w:color="auto"/>
        </w:rPr>
        <w:t>洛阳市企业技术中心评价指标体系</w:t>
      </w:r>
    </w:p>
    <w:bookmarkEnd w:id="1"/>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ˎ̥" w:eastAsia="黑体" w:cs="宋体"/>
          <w:kern w:val="0"/>
          <w:sz w:val="44"/>
          <w:szCs w:val="30"/>
          <w:u w:val="none" w:color="auto"/>
        </w:rPr>
      </w:pPr>
    </w:p>
    <w:bookmarkEnd w:id="0"/>
    <w:p>
      <w:pPr>
        <w:pStyle w:val="2"/>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textAlignment w:val="auto"/>
        <w:outlineLvl w:val="9"/>
        <w:rPr>
          <w:rFonts w:hint="eastAsia" w:ascii="黑体" w:eastAsia="黑体"/>
          <w:sz w:val="32"/>
          <w:szCs w:val="28"/>
          <w:u w:val="none" w:color="auto"/>
        </w:rPr>
      </w:pPr>
      <w:r>
        <w:rPr>
          <w:rFonts w:hint="eastAsia" w:ascii="黑体" w:eastAsia="黑体"/>
          <w:sz w:val="32"/>
          <w:szCs w:val="28"/>
          <w:u w:val="none" w:color="auto"/>
        </w:rPr>
        <w:t>一、评价指标及评价基本要求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845"/>
        <w:gridCol w:w="700"/>
        <w:gridCol w:w="2550"/>
        <w:gridCol w:w="834"/>
        <w:gridCol w:w="850"/>
        <w:gridCol w:w="1583"/>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b/>
                <w:bCs/>
                <w:sz w:val="24"/>
                <w:szCs w:val="24"/>
                <w:u w:val="none" w:color="auto"/>
              </w:rPr>
            </w:pPr>
            <w:r>
              <w:rPr>
                <w:rFonts w:hint="eastAsia" w:ascii="仿宋_GB2312" w:hAnsi="仿宋_GB2312" w:cs="仿宋_GB2312"/>
                <w:b/>
                <w:bCs/>
                <w:sz w:val="24"/>
                <w:szCs w:val="24"/>
                <w:u w:val="none" w:color="auto"/>
              </w:rPr>
              <w:t>一级指标</w:t>
            </w:r>
          </w:p>
        </w:tc>
        <w:tc>
          <w:tcPr>
            <w:tcW w:w="845"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b/>
                <w:bCs/>
                <w:sz w:val="24"/>
                <w:szCs w:val="24"/>
                <w:u w:val="none" w:color="auto"/>
              </w:rPr>
            </w:pPr>
            <w:r>
              <w:rPr>
                <w:rFonts w:hint="eastAsia" w:ascii="仿宋_GB2312" w:hAnsi="仿宋_GB2312" w:cs="仿宋_GB2312"/>
                <w:b/>
                <w:bCs/>
                <w:sz w:val="24"/>
                <w:szCs w:val="24"/>
                <w:u w:val="none" w:color="auto"/>
              </w:rPr>
              <w:t>二级指标</w:t>
            </w:r>
          </w:p>
        </w:tc>
        <w:tc>
          <w:tcPr>
            <w:tcW w:w="70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b/>
                <w:bCs/>
                <w:sz w:val="24"/>
                <w:szCs w:val="24"/>
                <w:u w:val="none" w:color="auto"/>
              </w:rPr>
            </w:pPr>
            <w:r>
              <w:rPr>
                <w:rFonts w:hint="eastAsia" w:ascii="仿宋_GB2312" w:hAnsi="仿宋_GB2312" w:cs="仿宋_GB2312"/>
                <w:b/>
                <w:bCs/>
                <w:sz w:val="24"/>
                <w:szCs w:val="24"/>
                <w:u w:val="none" w:color="auto"/>
              </w:rPr>
              <w:t>权重</w:t>
            </w:r>
          </w:p>
        </w:tc>
        <w:tc>
          <w:tcPr>
            <w:tcW w:w="25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b/>
                <w:bCs/>
                <w:sz w:val="24"/>
                <w:szCs w:val="24"/>
                <w:u w:val="none" w:color="auto"/>
              </w:rPr>
            </w:pPr>
            <w:r>
              <w:rPr>
                <w:rFonts w:hint="eastAsia" w:ascii="仿宋_GB2312" w:hAnsi="仿宋_GB2312" w:cs="仿宋_GB2312"/>
                <w:b/>
                <w:bCs/>
                <w:sz w:val="24"/>
                <w:szCs w:val="24"/>
                <w:u w:val="none" w:color="auto"/>
              </w:rPr>
              <w:t>三级指标</w:t>
            </w:r>
          </w:p>
        </w:tc>
        <w:tc>
          <w:tcPr>
            <w:tcW w:w="834"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b/>
                <w:bCs/>
                <w:sz w:val="24"/>
                <w:szCs w:val="24"/>
                <w:u w:val="none" w:color="auto"/>
              </w:rPr>
            </w:pPr>
            <w:r>
              <w:rPr>
                <w:rFonts w:hint="eastAsia" w:ascii="仿宋_GB2312" w:hAnsi="仿宋_GB2312" w:cs="仿宋_GB2312"/>
                <w:b/>
                <w:bCs/>
                <w:sz w:val="24"/>
                <w:szCs w:val="24"/>
                <w:u w:val="none" w:color="auto"/>
              </w:rPr>
              <w:t>单位</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b/>
                <w:bCs/>
                <w:sz w:val="24"/>
                <w:szCs w:val="24"/>
                <w:u w:val="none" w:color="auto"/>
              </w:rPr>
            </w:pPr>
            <w:r>
              <w:rPr>
                <w:rFonts w:hint="eastAsia" w:ascii="仿宋_GB2312" w:hAnsi="仿宋_GB2312" w:cs="仿宋_GB2312"/>
                <w:b/>
                <w:bCs/>
                <w:sz w:val="24"/>
                <w:szCs w:val="24"/>
                <w:u w:val="none" w:color="auto"/>
              </w:rPr>
              <w:t>权重</w:t>
            </w: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b/>
                <w:bCs/>
                <w:sz w:val="24"/>
                <w:szCs w:val="24"/>
                <w:u w:val="none" w:color="auto"/>
              </w:rPr>
            </w:pPr>
            <w:r>
              <w:rPr>
                <w:rFonts w:hint="eastAsia" w:ascii="仿宋_GB2312" w:hAnsi="仿宋_GB2312" w:cs="仿宋_GB2312"/>
                <w:b/>
                <w:bCs/>
                <w:sz w:val="24"/>
                <w:szCs w:val="24"/>
                <w:u w:val="none" w:color="auto"/>
              </w:rPr>
              <w:t>基本要求</w:t>
            </w: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b/>
                <w:bCs/>
                <w:sz w:val="24"/>
                <w:szCs w:val="24"/>
                <w:u w:val="none" w:color="auto"/>
              </w:rPr>
            </w:pPr>
            <w:r>
              <w:rPr>
                <w:rFonts w:hint="eastAsia" w:ascii="仿宋_GB2312" w:hAnsi="仿宋_GB2312" w:cs="仿宋_GB2312"/>
                <w:b/>
                <w:bCs/>
                <w:sz w:val="24"/>
                <w:szCs w:val="24"/>
                <w:u w:val="none" w:color="auto"/>
              </w:rPr>
              <w:t>满分要求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创新投入</w:t>
            </w:r>
          </w:p>
        </w:tc>
        <w:tc>
          <w:tcPr>
            <w:tcW w:w="845"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创新经费</w:t>
            </w:r>
          </w:p>
        </w:tc>
        <w:tc>
          <w:tcPr>
            <w:tcW w:w="7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20</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研发人员人均研发经费支出</w:t>
            </w:r>
          </w:p>
        </w:tc>
        <w:tc>
          <w:tcPr>
            <w:tcW w:w="834"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万元</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10</w:t>
            </w: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≥2</w:t>
            </w: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845"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研发经费支出占主营业务收入的比重</w:t>
            </w:r>
          </w:p>
        </w:tc>
        <w:tc>
          <w:tcPr>
            <w:tcW w:w="834"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10</w:t>
            </w: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≥1</w:t>
            </w: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845"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创新人才</w:t>
            </w:r>
          </w:p>
        </w:tc>
        <w:tc>
          <w:tcPr>
            <w:tcW w:w="7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20</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研发人员占企业职工总数的比重</w:t>
            </w:r>
          </w:p>
        </w:tc>
        <w:tc>
          <w:tcPr>
            <w:tcW w:w="834"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5</w:t>
            </w: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≥1</w:t>
            </w: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845"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技术中心拥有的高级专家和博士人数</w:t>
            </w:r>
          </w:p>
        </w:tc>
        <w:tc>
          <w:tcPr>
            <w:tcW w:w="834"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人</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5</w:t>
            </w: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每一人加1分，最高5分</w:t>
            </w: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845"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来技术中心从事研发工作的外部专家人数</w:t>
            </w:r>
          </w:p>
        </w:tc>
        <w:tc>
          <w:tcPr>
            <w:tcW w:w="834"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人月</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5</w:t>
            </w:r>
          </w:p>
        </w:tc>
        <w:tc>
          <w:tcPr>
            <w:tcW w:w="1583"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w:t>
            </w:r>
            <w:r>
              <w:rPr>
                <w:rFonts w:hint="eastAsia" w:ascii="ˎ̥" w:hAnsi="ˎ̥" w:cs="宋体"/>
                <w:kern w:val="0"/>
                <w:sz w:val="24"/>
                <w:szCs w:val="24"/>
                <w:u w:val="none" w:color="auto"/>
              </w:rPr>
              <w:t>8</w:t>
            </w:r>
          </w:p>
        </w:tc>
        <w:tc>
          <w:tcPr>
            <w:tcW w:w="125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845"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人才激励机制</w:t>
            </w: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r>
              <w:rPr>
                <w:rFonts w:ascii="ˎ̥" w:hAnsi="ˎ̥" w:cs="宋体"/>
                <w:kern w:val="0"/>
                <w:sz w:val="24"/>
                <w:szCs w:val="24"/>
                <w:u w:val="none" w:color="auto"/>
              </w:rPr>
              <w:t>中心年人均收入与企业年人均收入之比</w:t>
            </w:r>
          </w:p>
        </w:tc>
        <w:tc>
          <w:tcPr>
            <w:tcW w:w="834"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5</w:t>
            </w:r>
          </w:p>
        </w:tc>
        <w:tc>
          <w:tcPr>
            <w:tcW w:w="1583"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shd w:val="clear" w:color="auto" w:fill="FF0000"/>
              </w:rPr>
            </w:pPr>
            <w:r>
              <w:rPr>
                <w:rFonts w:hint="eastAsia" w:ascii="仿宋_GB2312" w:hAnsi="ˎ̥" w:cs="宋体"/>
                <w:kern w:val="0"/>
                <w:sz w:val="24"/>
                <w:szCs w:val="24"/>
                <w:u w:val="none" w:color="auto"/>
              </w:rPr>
              <w:t>＞</w:t>
            </w:r>
            <w:r>
              <w:rPr>
                <w:rFonts w:ascii="仿宋_GB2312" w:hAnsi="ˎ̥" w:cs="宋体"/>
                <w:kern w:val="0"/>
                <w:sz w:val="24"/>
                <w:szCs w:val="24"/>
                <w:u w:val="none" w:color="auto"/>
              </w:rPr>
              <w:t>1.2</w:t>
            </w:r>
          </w:p>
        </w:tc>
        <w:tc>
          <w:tcPr>
            <w:tcW w:w="1250" w:type="dxa"/>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ˎ̥" w:cs="宋体"/>
                <w:kern w:val="0"/>
                <w:sz w:val="24"/>
                <w:szCs w:val="24"/>
                <w:u w:val="none" w:color="auto"/>
              </w:rPr>
            </w:pPr>
            <w:r>
              <w:rPr>
                <w:rFonts w:hint="eastAsia" w:ascii="仿宋_GB2312" w:hAnsi="ˎ̥" w:cs="宋体"/>
                <w:kern w:val="0"/>
                <w:sz w:val="24"/>
                <w:szCs w:val="24"/>
                <w:u w:val="none" w:color="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创新条件</w:t>
            </w:r>
          </w:p>
        </w:tc>
        <w:tc>
          <w:tcPr>
            <w:tcW w:w="845"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技术积累</w:t>
            </w:r>
          </w:p>
        </w:tc>
        <w:tc>
          <w:tcPr>
            <w:tcW w:w="7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15</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企业拥有的全部有效发明专利数</w:t>
            </w:r>
          </w:p>
        </w:tc>
        <w:tc>
          <w:tcPr>
            <w:tcW w:w="834"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项</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5</w:t>
            </w: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≥1</w:t>
            </w: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845"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7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企业全部研发项目数</w:t>
            </w:r>
          </w:p>
        </w:tc>
        <w:tc>
          <w:tcPr>
            <w:tcW w:w="834"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项</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5</w:t>
            </w: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≥3</w:t>
            </w: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845"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70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基础研究和应用研究项目数占全部研发项目数的比重</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5</w:t>
            </w: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≥1</w:t>
            </w: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845"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创新平台</w:t>
            </w:r>
          </w:p>
        </w:tc>
        <w:tc>
          <w:tcPr>
            <w:tcW w:w="700"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10</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企业技术开发仪器设备原值</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万元</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4</w:t>
            </w: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≥300</w:t>
            </w: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845"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700"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省级以上研发平台数</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个</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3</w:t>
            </w: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≥1</w:t>
            </w: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845"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700"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市级研发平台数</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个</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3</w:t>
            </w: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≥1</w:t>
            </w: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创新绩效</w:t>
            </w:r>
          </w:p>
        </w:tc>
        <w:tc>
          <w:tcPr>
            <w:tcW w:w="845"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技术产出</w:t>
            </w:r>
          </w:p>
        </w:tc>
        <w:tc>
          <w:tcPr>
            <w:tcW w:w="700"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10</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当年被受理的专利申请数</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项</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5</w:t>
            </w: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≥2</w:t>
            </w: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845"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700"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当年被受理的发明专利申请数</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项</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5</w:t>
            </w: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≥1</w:t>
            </w: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845"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创新效益</w:t>
            </w:r>
          </w:p>
        </w:tc>
        <w:tc>
          <w:tcPr>
            <w:tcW w:w="700"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25</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新产品销售收入占主营业务收入的比重</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10</w:t>
            </w: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≥8</w:t>
            </w: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845"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700"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新产品销售利润占利润总额的比重</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10</w:t>
            </w: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≥6</w:t>
            </w: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845"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700"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利润率</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5</w:t>
            </w: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≥2</w:t>
            </w: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加分</w:t>
            </w:r>
          </w:p>
        </w:tc>
        <w:tc>
          <w:tcPr>
            <w:tcW w:w="845" w:type="dxa"/>
            <w:vMerge w:val="restart"/>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加分</w:t>
            </w:r>
          </w:p>
        </w:tc>
        <w:tc>
          <w:tcPr>
            <w:tcW w:w="70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通过国家（国际组织）认证的实验室和检测机构数</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r>
              <w:rPr>
                <w:rFonts w:hint="eastAsia" w:ascii="仿宋_GB2312" w:hAnsi="仿宋_GB2312" w:cs="仿宋_GB2312"/>
                <w:sz w:val="24"/>
                <w:szCs w:val="24"/>
                <w:u w:val="none" w:color="auto"/>
              </w:rPr>
              <w:t>个</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845"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70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最近三年主持和参加制定的国际、国家和行业标准数</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项</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cs="仿宋_GB2312"/>
                <w:sz w:val="24"/>
                <w:szCs w:val="24"/>
                <w:u w:val="none" w:color="auto"/>
              </w:rPr>
            </w:pP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9"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845" w:type="dxa"/>
            <w:vMerge w:val="continue"/>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distribute"/>
              <w:textAlignment w:val="auto"/>
              <w:outlineLvl w:val="9"/>
              <w:rPr>
                <w:rFonts w:hint="eastAsia" w:ascii="仿宋_GB2312" w:hAnsi="仿宋_GB2312" w:cs="仿宋_GB2312"/>
                <w:sz w:val="24"/>
                <w:szCs w:val="24"/>
                <w:u w:val="none" w:color="auto"/>
              </w:rPr>
            </w:pPr>
          </w:p>
        </w:tc>
        <w:tc>
          <w:tcPr>
            <w:tcW w:w="70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ascii="仿宋_GB2312" w:hAnsi="仿宋_GB2312" w:cs="仿宋_GB2312"/>
                <w:sz w:val="24"/>
                <w:szCs w:val="24"/>
                <w:u w:val="none" w:color="auto"/>
              </w:rPr>
            </w:pP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获国家或省级自然科学、技术发明、科技进步奖项目数</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r>
              <w:rPr>
                <w:rFonts w:hint="eastAsia" w:ascii="仿宋_GB2312" w:hAnsi="仿宋_GB2312" w:cs="仿宋_GB2312"/>
                <w:sz w:val="24"/>
                <w:szCs w:val="24"/>
                <w:u w:val="none" w:color="auto"/>
              </w:rPr>
              <w:t>项</w:t>
            </w:r>
          </w:p>
        </w:tc>
        <w:tc>
          <w:tcPr>
            <w:tcW w:w="8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textAlignment w:val="auto"/>
              <w:outlineLvl w:val="9"/>
              <w:rPr>
                <w:rFonts w:hint="eastAsia" w:ascii="仿宋_GB2312" w:hAnsi="仿宋_GB2312" w:cs="仿宋_GB2312"/>
                <w:sz w:val="24"/>
                <w:szCs w:val="24"/>
                <w:u w:val="none" w:color="auto"/>
              </w:rPr>
            </w:pPr>
          </w:p>
        </w:tc>
        <w:tc>
          <w:tcPr>
            <w:tcW w:w="1583"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p>
        </w:tc>
        <w:tc>
          <w:tcPr>
            <w:tcW w:w="1250" w:type="dxa"/>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ascii="仿宋_GB2312" w:hAnsi="仿宋_GB2312" w:cs="仿宋_GB2312"/>
                <w:sz w:val="24"/>
                <w:szCs w:val="24"/>
                <w:u w:val="none" w:color="auto"/>
              </w:rPr>
            </w:pPr>
          </w:p>
        </w:tc>
      </w:tr>
    </w:tbl>
    <w:p>
      <w:pPr>
        <w:pStyle w:val="2"/>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textAlignment w:val="auto"/>
        <w:outlineLvl w:val="9"/>
        <w:rPr>
          <w:rFonts w:hint="eastAsia" w:ascii="仿宋_GB2312" w:eastAsia="黑体"/>
          <w:sz w:val="32"/>
          <w:szCs w:val="28"/>
          <w:u w:val="none" w:color="auto"/>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cs="仿宋_GB2312"/>
          <w:szCs w:val="32"/>
          <w:u w:val="none" w:color="auto"/>
        </w:rPr>
      </w:pPr>
      <w:r>
        <w:rPr>
          <w:rFonts w:hint="eastAsia" w:ascii="仿宋_GB2312" w:hAnsi="仿宋_GB2312" w:cs="仿宋_GB2312"/>
          <w:b/>
          <w:bCs/>
          <w:szCs w:val="32"/>
          <w:u w:val="none" w:color="auto"/>
        </w:rPr>
        <w:t>说明：</w:t>
      </w:r>
      <w:r>
        <w:rPr>
          <w:rFonts w:hint="eastAsia" w:ascii="仿宋_GB2312" w:hAnsi="仿宋_GB2312" w:cs="仿宋_GB2312"/>
          <w:szCs w:val="32"/>
          <w:u w:val="none" w:color="auto"/>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ˎ̥" w:cs="宋体"/>
          <w:kern w:val="0"/>
          <w:sz w:val="28"/>
          <w:szCs w:val="28"/>
          <w:u w:val="none" w:color="auto"/>
        </w:rPr>
      </w:pPr>
      <w:r>
        <w:rPr>
          <w:rFonts w:hint="eastAsia" w:ascii="仿宋_GB2312" w:hAnsi="ˎ̥" w:cs="宋体"/>
          <w:kern w:val="0"/>
          <w:sz w:val="28"/>
          <w:szCs w:val="28"/>
          <w:u w:val="none" w:color="auto"/>
        </w:rPr>
        <w:t>1.企业拥有的通过国家（国际组织）认证的实验室和机构，每项加3分。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ˎ̥" w:cs="宋体"/>
          <w:kern w:val="0"/>
          <w:sz w:val="28"/>
          <w:szCs w:val="28"/>
          <w:u w:val="none" w:color="auto"/>
        </w:rPr>
      </w:pPr>
      <w:r>
        <w:rPr>
          <w:rFonts w:hint="eastAsia" w:ascii="仿宋_GB2312" w:hAnsi="ˎ̥" w:cs="宋体"/>
          <w:kern w:val="0"/>
          <w:sz w:val="28"/>
          <w:szCs w:val="28"/>
          <w:u w:val="none" w:color="auto"/>
        </w:rPr>
        <w:t>2.以企业为单位最近三年主持或参加制定的国际、国家和行业标准数，国际标准每项为5分，国家标准每项为3分，行业标准每项加1分。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ˎ̥" w:cs="宋体"/>
          <w:kern w:val="0"/>
          <w:sz w:val="28"/>
          <w:szCs w:val="28"/>
          <w:u w:val="none" w:color="auto"/>
        </w:rPr>
      </w:pPr>
      <w:r>
        <w:rPr>
          <w:rFonts w:hint="eastAsia" w:ascii="仿宋_GB2312" w:hAnsi="ˎ̥" w:cs="宋体"/>
          <w:kern w:val="0"/>
          <w:sz w:val="28"/>
          <w:szCs w:val="28"/>
          <w:u w:val="none" w:color="auto"/>
        </w:rPr>
        <w:t>3.企业作为主要完成单位或企业员工作为主要完成人获国家自然科学、技术发明、科技进步奖项目，特等奖每项加6分，一等奖每项加5分，二等奖每项加4分；省级科技进步奖项目，一等奖每项加3分，二等奖每项加2分，三等奖每项加1分。</w:t>
      </w:r>
    </w:p>
    <w:p>
      <w:pPr>
        <w:pStyle w:val="2"/>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textAlignment w:val="auto"/>
        <w:outlineLvl w:val="9"/>
        <w:rPr>
          <w:rFonts w:ascii="黑体" w:eastAsia="黑体"/>
          <w:sz w:val="32"/>
          <w:szCs w:val="28"/>
          <w:u w:val="none" w:color="auto"/>
        </w:rPr>
      </w:pPr>
      <w:r>
        <w:rPr>
          <w:rFonts w:hint="eastAsia" w:ascii="仿宋_GB2312" w:eastAsia="黑体"/>
          <w:sz w:val="32"/>
          <w:szCs w:val="28"/>
          <w:u w:val="none" w:color="auto"/>
        </w:rPr>
        <w:t>二</w:t>
      </w:r>
      <w:r>
        <w:rPr>
          <w:rFonts w:hint="eastAsia" w:ascii="黑体" w:eastAsia="黑体"/>
          <w:sz w:val="32"/>
          <w:szCs w:val="28"/>
          <w:u w:val="none" w:color="auto"/>
        </w:rPr>
        <w:t>、行业系数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3"/>
        <w:gridCol w:w="1485"/>
        <w:gridCol w:w="14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b/>
                <w:bCs/>
                <w:sz w:val="21"/>
                <w:szCs w:val="21"/>
                <w:u w:val="none" w:color="auto"/>
              </w:rPr>
            </w:pPr>
            <w:r>
              <w:rPr>
                <w:b/>
                <w:bCs/>
                <w:sz w:val="21"/>
                <w:szCs w:val="21"/>
                <w:u w:val="none" w:color="auto"/>
              </w:rPr>
              <w:t>行业名称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b/>
                <w:bCs/>
                <w:sz w:val="21"/>
                <w:szCs w:val="21"/>
                <w:u w:val="none" w:color="auto"/>
              </w:rPr>
            </w:pPr>
            <w:r>
              <w:rPr>
                <w:b/>
                <w:bCs/>
                <w:sz w:val="21"/>
                <w:szCs w:val="21"/>
                <w:u w:val="none" w:color="auto"/>
              </w:rPr>
              <w:t>研发经费支出占主营业务收入的比重</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b/>
                <w:bCs/>
                <w:sz w:val="21"/>
                <w:szCs w:val="21"/>
                <w:u w:val="none" w:color="auto"/>
              </w:rPr>
            </w:pPr>
            <w:r>
              <w:rPr>
                <w:b/>
                <w:bCs/>
                <w:sz w:val="21"/>
                <w:szCs w:val="21"/>
                <w:u w:val="none" w:color="auto"/>
              </w:rPr>
              <w:t>新产品销售收入占主营业务收入的比重</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b/>
                <w:bCs/>
                <w:sz w:val="21"/>
                <w:szCs w:val="21"/>
                <w:u w:val="none" w:color="auto"/>
              </w:rPr>
            </w:pPr>
            <w:r>
              <w:rPr>
                <w:b/>
                <w:bCs/>
                <w:sz w:val="21"/>
                <w:szCs w:val="21"/>
                <w:u w:val="none" w:color="auto"/>
              </w:rPr>
              <w:t>新产品销售利润占利润总额的比重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农业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 xml:space="preserve">1.5 </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煤炭开采和洗选业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2.0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3.0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石油和天然气开采业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2.0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3.0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有色金属矿采选业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2.0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3.0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农副食品加工业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食品制造业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酒、饮料和精制茶制造业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烟草制品业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3.0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纺织业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纺织服装、服饰业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皮革、毛皮、羽毛及其制品和制鞋业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木材加工和木、竹、藤、棕、草制品业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家具制造业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造纸和纸制品业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印刷和记录媒介复制业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文教、工美、体育和娱乐用品制造业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石油加工、炼焦和核燃料加工业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2.5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2.0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化学原料和化学制品制造业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医药制造业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0.8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0.8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化学纤维制造业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橡胶和塑料制品业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非金属矿物制品业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黑色金属冶炼和压延加工业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有色金属冶炼和压延加工业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金属制品业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通用设备制造业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专用设备制造业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汽车制造业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0.8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铁路、船舶、航空航天和其他运输设备制造业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0.8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0.8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电气机械和器材制造业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0.8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0.8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计算机、通信和其他电子设备制造业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0.8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0.8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仪器仪表制造业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0.8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0.8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电力、热力生产和供应业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2.5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3.0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房屋建筑业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2.0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土木工程建筑业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2.0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建筑安装业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2.0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软件和信息技术服务业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0.6</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专业技术服务业</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4473"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其他</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sz w:val="21"/>
                <w:szCs w:val="21"/>
                <w:u w:val="none" w:color="auto"/>
              </w:rPr>
            </w:pPr>
            <w:r>
              <w:rPr>
                <w:sz w:val="21"/>
                <w:szCs w:val="21"/>
                <w:u w:val="none" w:color="auto"/>
              </w:rPr>
              <w:t>1.0</w:t>
            </w:r>
          </w:p>
        </w:tc>
      </w:tr>
    </w:tbl>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黑体" w:hAnsi="ˎ̥" w:eastAsia="黑体" w:cs="宋体"/>
          <w:kern w:val="0"/>
          <w:szCs w:val="28"/>
          <w:u w:val="none" w:color="auto"/>
        </w:rPr>
      </w:pPr>
      <w:r>
        <w:rPr>
          <w:rFonts w:ascii="黑体" w:hAnsi="ˎ̥" w:eastAsia="黑体" w:cs="宋体"/>
          <w:kern w:val="0"/>
          <w:szCs w:val="28"/>
          <w:u w:val="none" w:color="auto"/>
        </w:rPr>
        <w:t>有关说明：</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ˎ̥" w:cs="宋体"/>
          <w:spacing w:val="-8"/>
          <w:kern w:val="0"/>
          <w:sz w:val="28"/>
          <w:szCs w:val="28"/>
          <w:u w:val="none" w:color="auto"/>
        </w:rPr>
      </w:pPr>
      <w:r>
        <w:rPr>
          <w:rFonts w:ascii="仿宋_GB2312" w:hAnsi="ˎ̥" w:cs="宋体"/>
          <w:kern w:val="0"/>
          <w:sz w:val="28"/>
          <w:szCs w:val="28"/>
          <w:u w:val="none" w:color="auto"/>
        </w:rPr>
        <w:t>1、由于不同行业在</w:t>
      </w:r>
      <w:r>
        <w:rPr>
          <w:rFonts w:hint="eastAsia" w:ascii="仿宋_GB2312" w:hAnsi="ˎ̥" w:cs="宋体"/>
          <w:kern w:val="0"/>
          <w:sz w:val="28"/>
          <w:szCs w:val="28"/>
          <w:u w:val="none" w:color="auto"/>
        </w:rPr>
        <w:t>研发</w:t>
      </w:r>
      <w:r>
        <w:rPr>
          <w:rFonts w:ascii="仿宋_GB2312" w:hAnsi="ˎ̥" w:cs="宋体"/>
          <w:kern w:val="0"/>
          <w:sz w:val="28"/>
          <w:szCs w:val="28"/>
          <w:u w:val="none" w:color="auto"/>
        </w:rPr>
        <w:t>投入与产出方面存在较大差异，技术中心评估时，对不同行业企业</w:t>
      </w:r>
      <w:r>
        <w:rPr>
          <w:rFonts w:hint="eastAsia" w:ascii="仿宋_GB2312" w:hAnsi="ˎ̥" w:cs="宋体"/>
          <w:kern w:val="0"/>
          <w:sz w:val="28"/>
          <w:szCs w:val="28"/>
          <w:u w:val="none" w:color="auto"/>
        </w:rPr>
        <w:t>“研发</w:t>
      </w:r>
      <w:r>
        <w:rPr>
          <w:rFonts w:ascii="仿宋_GB2312" w:hAnsi="ˎ̥" w:cs="宋体"/>
          <w:kern w:val="0"/>
          <w:sz w:val="28"/>
          <w:szCs w:val="28"/>
          <w:u w:val="none" w:color="auto"/>
        </w:rPr>
        <w:t>经费支出额占</w:t>
      </w:r>
      <w:r>
        <w:rPr>
          <w:rFonts w:hint="eastAsia" w:ascii="仿宋_GB2312" w:hAnsi="ˎ̥" w:cs="宋体"/>
          <w:kern w:val="0"/>
          <w:sz w:val="28"/>
          <w:szCs w:val="28"/>
          <w:u w:val="none" w:color="auto"/>
        </w:rPr>
        <w:t>主营业务</w:t>
      </w:r>
      <w:r>
        <w:rPr>
          <w:rFonts w:ascii="仿宋_GB2312" w:hAnsi="ˎ̥" w:cs="宋体"/>
          <w:kern w:val="0"/>
          <w:sz w:val="28"/>
          <w:szCs w:val="28"/>
          <w:u w:val="none" w:color="auto"/>
        </w:rPr>
        <w:t>收入的比重</w:t>
      </w:r>
      <w:r>
        <w:rPr>
          <w:rFonts w:hint="eastAsia" w:ascii="仿宋_GB2312" w:hAnsi="ˎ̥" w:cs="宋体"/>
          <w:kern w:val="0"/>
          <w:sz w:val="28"/>
          <w:szCs w:val="28"/>
          <w:u w:val="none" w:color="auto"/>
        </w:rPr>
        <w:t>”</w:t>
      </w:r>
      <w:r>
        <w:rPr>
          <w:rFonts w:ascii="仿宋_GB2312" w:hAnsi="ˎ̥" w:cs="宋体"/>
          <w:kern w:val="0"/>
          <w:sz w:val="28"/>
          <w:szCs w:val="28"/>
          <w:u w:val="none" w:color="auto"/>
        </w:rPr>
        <w:t>、</w:t>
      </w:r>
      <w:r>
        <w:rPr>
          <w:rFonts w:hint="eastAsia" w:ascii="仿宋_GB2312" w:hAnsi="ˎ̥" w:cs="宋体"/>
          <w:kern w:val="0"/>
          <w:sz w:val="28"/>
          <w:szCs w:val="28"/>
          <w:u w:val="none" w:color="auto"/>
        </w:rPr>
        <w:t>“</w:t>
      </w:r>
      <w:r>
        <w:rPr>
          <w:rFonts w:ascii="仿宋_GB2312" w:hAnsi="ˎ̥" w:cs="宋体"/>
          <w:kern w:val="0"/>
          <w:sz w:val="28"/>
          <w:szCs w:val="28"/>
          <w:u w:val="none" w:color="auto"/>
        </w:rPr>
        <w:t>新产品销售收入占</w:t>
      </w:r>
      <w:r>
        <w:rPr>
          <w:rFonts w:hint="eastAsia" w:ascii="仿宋_GB2312" w:hAnsi="ˎ̥" w:cs="宋体"/>
          <w:kern w:val="0"/>
          <w:sz w:val="28"/>
          <w:szCs w:val="28"/>
          <w:u w:val="none" w:color="auto"/>
        </w:rPr>
        <w:t>主营业务</w:t>
      </w:r>
      <w:r>
        <w:rPr>
          <w:rFonts w:ascii="仿宋_GB2312" w:hAnsi="ˎ̥" w:cs="宋体"/>
          <w:kern w:val="0"/>
          <w:sz w:val="28"/>
          <w:szCs w:val="28"/>
          <w:u w:val="none" w:color="auto"/>
        </w:rPr>
        <w:t>收入的比重</w:t>
      </w:r>
      <w:r>
        <w:rPr>
          <w:rFonts w:hint="eastAsia" w:ascii="仿宋_GB2312" w:hAnsi="ˎ̥" w:cs="宋体"/>
          <w:kern w:val="0"/>
          <w:sz w:val="28"/>
          <w:szCs w:val="28"/>
          <w:u w:val="none" w:color="auto"/>
        </w:rPr>
        <w:t>”、“</w:t>
      </w:r>
      <w:r>
        <w:rPr>
          <w:rFonts w:ascii="仿宋_GB2312" w:hAnsi="ˎ̥" w:cs="宋体"/>
          <w:kern w:val="0"/>
          <w:sz w:val="28"/>
          <w:szCs w:val="28"/>
          <w:u w:val="none" w:color="auto"/>
        </w:rPr>
        <w:t>新产品</w:t>
      </w:r>
      <w:r>
        <w:rPr>
          <w:rFonts w:ascii="仿宋_GB2312" w:hAnsi="ˎ̥" w:cs="宋体"/>
          <w:spacing w:val="-8"/>
          <w:kern w:val="0"/>
          <w:sz w:val="28"/>
          <w:szCs w:val="28"/>
          <w:u w:val="none" w:color="auto"/>
        </w:rPr>
        <w:t>销售利润占利润</w:t>
      </w:r>
      <w:r>
        <w:rPr>
          <w:rFonts w:hint="eastAsia" w:ascii="仿宋_GB2312" w:hAnsi="ˎ̥" w:cs="宋体"/>
          <w:spacing w:val="-8"/>
          <w:kern w:val="0"/>
          <w:sz w:val="28"/>
          <w:szCs w:val="28"/>
          <w:u w:val="none" w:color="auto"/>
        </w:rPr>
        <w:t>总额</w:t>
      </w:r>
      <w:r>
        <w:rPr>
          <w:rFonts w:ascii="仿宋_GB2312" w:hAnsi="ˎ̥" w:cs="宋体"/>
          <w:spacing w:val="-8"/>
          <w:kern w:val="0"/>
          <w:sz w:val="28"/>
          <w:szCs w:val="28"/>
          <w:u w:val="none" w:color="auto"/>
        </w:rPr>
        <w:t>的比重</w:t>
      </w:r>
      <w:r>
        <w:rPr>
          <w:rFonts w:hint="eastAsia" w:ascii="仿宋_GB2312" w:hAnsi="ˎ̥" w:cs="宋体"/>
          <w:spacing w:val="-8"/>
          <w:kern w:val="0"/>
          <w:sz w:val="28"/>
          <w:szCs w:val="28"/>
          <w:u w:val="none" w:color="auto"/>
        </w:rPr>
        <w:t>”</w:t>
      </w:r>
      <w:r>
        <w:rPr>
          <w:rFonts w:ascii="仿宋_GB2312" w:hAnsi="ˎ̥" w:cs="宋体"/>
          <w:spacing w:val="-8"/>
          <w:kern w:val="0"/>
          <w:sz w:val="28"/>
          <w:szCs w:val="28"/>
          <w:u w:val="none" w:color="auto"/>
        </w:rPr>
        <w:t>三个指标引入行业系数加以调节。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ˎ̥" w:cs="宋体"/>
          <w:kern w:val="0"/>
          <w:sz w:val="28"/>
          <w:szCs w:val="28"/>
          <w:u w:val="none" w:color="auto"/>
        </w:rPr>
      </w:pPr>
      <w:r>
        <w:rPr>
          <w:rFonts w:ascii="仿宋_GB2312" w:hAnsi="ˎ̥" w:cs="宋体"/>
          <w:kern w:val="0"/>
          <w:sz w:val="28"/>
          <w:szCs w:val="28"/>
          <w:u w:val="none" w:color="auto"/>
        </w:rPr>
        <w:t>2、行业系数</w:t>
      </w:r>
      <w:r>
        <w:rPr>
          <w:rFonts w:hint="eastAsia" w:ascii="仿宋_GB2312" w:hAnsi="ˎ̥" w:cs="宋体"/>
          <w:kern w:val="0"/>
          <w:sz w:val="28"/>
          <w:szCs w:val="28"/>
          <w:u w:val="none" w:color="auto"/>
        </w:rPr>
        <w:t>主要依据已认定企业技术中心评价数据、大型工业企业统计数据测算得到</w:t>
      </w:r>
      <w:r>
        <w:rPr>
          <w:rFonts w:ascii="仿宋_GB2312" w:hAnsi="ˎ̥" w:cs="宋体"/>
          <w:kern w:val="0"/>
          <w:sz w:val="28"/>
          <w:szCs w:val="28"/>
          <w:u w:val="none" w:color="auto"/>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ˎ̥" w:cs="宋体"/>
          <w:kern w:val="0"/>
          <w:sz w:val="28"/>
          <w:szCs w:val="28"/>
          <w:u w:val="none" w:color="auto"/>
        </w:rPr>
      </w:pPr>
      <w:r>
        <w:rPr>
          <w:rFonts w:ascii="仿宋_GB2312" w:hAnsi="ˎ̥" w:cs="宋体"/>
          <w:kern w:val="0"/>
          <w:sz w:val="28"/>
          <w:szCs w:val="28"/>
          <w:u w:val="none" w:color="auto"/>
        </w:rPr>
        <w:t>3、行业系数</w:t>
      </w:r>
      <w:r>
        <w:rPr>
          <w:rFonts w:hint="eastAsia" w:ascii="仿宋_GB2312" w:hAnsi="ˎ̥" w:cs="宋体"/>
          <w:kern w:val="0"/>
          <w:sz w:val="28"/>
          <w:szCs w:val="28"/>
          <w:u w:val="none" w:color="auto"/>
        </w:rPr>
        <w:t>只作为第三方评估机构评价时使用，企业填报时无需考虑行业系数，按实际数据填报。评价时，根据企业填报的实际数据计算得出上述指标的比重，再乘以行业系数，得出指标的评价值</w:t>
      </w:r>
      <w:r>
        <w:rPr>
          <w:rFonts w:ascii="仿宋_GB2312" w:hAnsi="ˎ̥" w:cs="宋体"/>
          <w:kern w:val="0"/>
          <w:sz w:val="28"/>
          <w:szCs w:val="28"/>
          <w:u w:val="none" w:color="auto"/>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_GB2312" w:hAnsi="ˎ̥" w:cs="宋体"/>
          <w:kern w:val="0"/>
          <w:sz w:val="28"/>
          <w:szCs w:val="28"/>
          <w:u w:val="none" w:color="auto"/>
        </w:rPr>
      </w:pPr>
      <w:r>
        <w:rPr>
          <w:rFonts w:ascii="仿宋_GB2312" w:hAnsi="ˎ̥" w:cs="宋体"/>
          <w:kern w:val="0"/>
          <w:sz w:val="28"/>
          <w:szCs w:val="28"/>
          <w:u w:val="none" w:color="auto"/>
        </w:rPr>
        <w:t>4、</w:t>
      </w:r>
      <w:r>
        <w:rPr>
          <w:rFonts w:hint="eastAsia" w:ascii="仿宋_GB2312" w:hAnsi="ˎ̥" w:cs="宋体"/>
          <w:kern w:val="0"/>
          <w:sz w:val="28"/>
          <w:szCs w:val="28"/>
          <w:u w:val="none" w:color="auto"/>
        </w:rPr>
        <w:t>行业系数表中的“其他”行业包括“交通运输、仓储和邮政业”、“文化、体育和娱乐业”等行业</w:t>
      </w:r>
      <w:r>
        <w:rPr>
          <w:rFonts w:ascii="仿宋_GB2312" w:hAnsi="ˎ̥" w:cs="宋体"/>
          <w:kern w:val="0"/>
          <w:sz w:val="28"/>
          <w:szCs w:val="28"/>
          <w:u w:val="none" w:color="auto"/>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ˎ̥" w:eastAsia="黑体" w:cs="宋体"/>
          <w:kern w:val="0"/>
          <w:szCs w:val="28"/>
          <w:u w:val="none" w:color="auto"/>
        </w:rPr>
      </w:pPr>
      <w:r>
        <w:rPr>
          <w:rFonts w:ascii="黑体" w:hAnsi="ˎ̥" w:eastAsia="黑体" w:cs="宋体"/>
          <w:kern w:val="0"/>
          <w:szCs w:val="28"/>
          <w:u w:val="none" w:color="auto"/>
        </w:rPr>
        <w:t>三、指标体系的完善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ˎ̥" w:cs="宋体"/>
          <w:kern w:val="0"/>
          <w:szCs w:val="28"/>
          <w:u w:val="none" w:color="auto"/>
        </w:rPr>
      </w:pPr>
      <w:r>
        <w:rPr>
          <w:rFonts w:ascii="仿宋_GB2312" w:hAnsi="ˎ̥" w:cs="宋体"/>
          <w:kern w:val="0"/>
          <w:szCs w:val="28"/>
          <w:u w:val="none" w:color="auto"/>
        </w:rPr>
        <w:t>国家根据各行业技术创新的实际状况和政府的宏观政策导向对评价指标、行业系数等进行必要的调整</w:t>
      </w:r>
      <w:r>
        <w:rPr>
          <w:rFonts w:hint="eastAsia" w:ascii="仿宋_GB2312" w:hAnsi="ˎ̥" w:cs="宋体"/>
          <w:kern w:val="0"/>
          <w:szCs w:val="28"/>
          <w:u w:val="none" w:color="auto"/>
        </w:rPr>
        <w:t>时，我市也进行相应的调整</w:t>
      </w:r>
      <w:r>
        <w:rPr>
          <w:rFonts w:ascii="仿宋_GB2312" w:hAnsi="ˎ̥" w:cs="宋体"/>
          <w:kern w:val="0"/>
          <w:szCs w:val="28"/>
          <w:u w:val="none" w:color="auto"/>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ˎ̥" w:eastAsia="黑体" w:cs="宋体"/>
          <w:kern w:val="0"/>
          <w:szCs w:val="28"/>
          <w:u w:val="none" w:color="auto"/>
        </w:rPr>
      </w:pPr>
      <w:r>
        <w:rPr>
          <w:rFonts w:ascii="黑体" w:hAnsi="ˎ̥" w:eastAsia="黑体" w:cs="宋体"/>
          <w:kern w:val="0"/>
          <w:szCs w:val="28"/>
          <w:u w:val="none" w:color="auto"/>
        </w:rPr>
        <w:t>四、限定性指标的最低标准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ˎ̥" w:cs="宋体"/>
          <w:kern w:val="0"/>
          <w:szCs w:val="28"/>
          <w:u w:val="none" w:color="auto"/>
        </w:rPr>
      </w:pPr>
      <w:r>
        <w:rPr>
          <w:rFonts w:ascii="仿宋_GB2312" w:hAnsi="ˎ̥" w:cs="宋体"/>
          <w:kern w:val="0"/>
          <w:szCs w:val="28"/>
          <w:u w:val="none" w:color="auto"/>
        </w:rPr>
        <w:t>1、企业科技活动经费支出额不低于</w:t>
      </w:r>
      <w:r>
        <w:rPr>
          <w:rFonts w:hint="eastAsia" w:ascii="仿宋_GB2312" w:hAnsi="ˎ̥" w:cs="宋体"/>
          <w:kern w:val="0"/>
          <w:szCs w:val="28"/>
          <w:u w:val="none" w:color="auto"/>
        </w:rPr>
        <w:t>300</w:t>
      </w:r>
      <w:r>
        <w:rPr>
          <w:rFonts w:ascii="仿宋_GB2312" w:hAnsi="ˎ̥" w:cs="宋体"/>
          <w:kern w:val="0"/>
          <w:szCs w:val="28"/>
          <w:u w:val="none" w:color="auto"/>
        </w:rPr>
        <w:t>万元。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ˎ̥" w:cs="宋体"/>
          <w:kern w:val="0"/>
          <w:szCs w:val="28"/>
          <w:u w:val="none" w:color="auto"/>
        </w:rPr>
      </w:pPr>
      <w:r>
        <w:rPr>
          <w:rFonts w:ascii="仿宋_GB2312" w:hAnsi="ˎ̥" w:cs="宋体"/>
          <w:kern w:val="0"/>
          <w:szCs w:val="28"/>
          <w:u w:val="none" w:color="auto"/>
        </w:rPr>
        <w:t>2、企业专职研究与试验发展人员数不低于</w:t>
      </w:r>
      <w:r>
        <w:rPr>
          <w:rFonts w:hint="eastAsia" w:ascii="仿宋_GB2312" w:hAnsi="ˎ̥" w:cs="宋体"/>
          <w:kern w:val="0"/>
          <w:szCs w:val="28"/>
          <w:u w:val="none" w:color="auto"/>
        </w:rPr>
        <w:t>2</w:t>
      </w:r>
      <w:r>
        <w:rPr>
          <w:rFonts w:ascii="仿宋_GB2312" w:hAnsi="ˎ̥" w:cs="宋体"/>
          <w:kern w:val="0"/>
          <w:szCs w:val="28"/>
          <w:u w:val="none" w:color="auto"/>
        </w:rPr>
        <w:t>0人。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ˎ̥" w:cs="宋体"/>
          <w:kern w:val="0"/>
          <w:szCs w:val="28"/>
          <w:u w:val="none" w:color="auto"/>
        </w:rPr>
      </w:pPr>
      <w:r>
        <w:rPr>
          <w:rFonts w:ascii="仿宋_GB2312" w:hAnsi="ˎ̥" w:cs="宋体"/>
          <w:kern w:val="0"/>
          <w:szCs w:val="28"/>
          <w:u w:val="none" w:color="auto"/>
        </w:rPr>
        <w:t>3、企业技术开发仪器设备原值不低于</w:t>
      </w:r>
      <w:r>
        <w:rPr>
          <w:rFonts w:hint="eastAsia" w:ascii="仿宋_GB2312" w:hAnsi="ˎ̥" w:cs="宋体"/>
          <w:kern w:val="0"/>
          <w:szCs w:val="28"/>
          <w:u w:val="none" w:color="auto"/>
        </w:rPr>
        <w:t>200</w:t>
      </w:r>
      <w:r>
        <w:rPr>
          <w:rFonts w:ascii="仿宋_GB2312" w:hAnsi="ˎ̥" w:cs="宋体"/>
          <w:kern w:val="0"/>
          <w:szCs w:val="28"/>
          <w:u w:val="none" w:color="auto"/>
        </w:rPr>
        <w:t>万元。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72DB8"/>
    <w:rsid w:val="6A272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kern w:val="0"/>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2021-05-07T01:51:00Z</dcterms:created>
  <dc:creator>三步两桥 13937935766</dc:creator>
  <cp:lastModifiedBy>三步两桥 13937935766</cp:lastModifiedBy>
  <dcterms:modified xsi:type="dcterms:W3CDTF">2021-05-07T01:52:14Z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6A33B66DA0A04A2B96F8CE56463151F1</vt:lpwstr>
  </property>
</Properties>
</file>